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50"/>
        </w:tabs>
        <w:spacing w:line="560" w:lineRule="exact"/>
        <w:rPr>
          <w:rFonts w:ascii="黑体" w:eastAsia="黑体"/>
          <w:sz w:val="28"/>
          <w:szCs w:val="28"/>
        </w:rPr>
      </w:pPr>
      <w:r>
        <w:rPr>
          <w:rFonts w:hint="eastAsia" w:ascii="黑体" w:eastAsia="黑体"/>
          <w:sz w:val="28"/>
          <w:szCs w:val="28"/>
        </w:rPr>
        <w:t>附件1</w:t>
      </w:r>
    </w:p>
    <w:p>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宗教活动场所消防安全标准化考评细则</w:t>
      </w:r>
    </w:p>
    <w:p>
      <w:pPr>
        <w:spacing w:line="280" w:lineRule="exact"/>
        <w:rPr>
          <w:sz w:val="28"/>
          <w:szCs w:val="28"/>
        </w:rPr>
      </w:pPr>
    </w:p>
    <w:p>
      <w:pPr>
        <w:spacing w:line="2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评定单位：                                                                          总分：</w:t>
      </w:r>
    </w:p>
    <w:p>
      <w:pPr>
        <w:spacing w:line="280" w:lineRule="exact"/>
        <w:rPr>
          <w:rFonts w:hint="eastAsia" w:ascii="仿宋_GB2312" w:hAnsi="仿宋_GB2312" w:eastAsia="仿宋_GB2312" w:cs="仿宋_GB2312"/>
          <w:sz w:val="28"/>
          <w:szCs w:val="28"/>
        </w:rPr>
      </w:pPr>
    </w:p>
    <w:tbl>
      <w:tblPr>
        <w:tblStyle w:val="3"/>
        <w:tblW w:w="14527"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687"/>
        <w:gridCol w:w="3391"/>
        <w:gridCol w:w="4171"/>
        <w:gridCol w:w="3631"/>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trPr>
        <w:tc>
          <w:tcPr>
            <w:tcW w:w="1543" w:type="dxa"/>
            <w:shd w:val="clear" w:color="000000" w:fill="FFFFFF"/>
            <w:vAlign w:val="center"/>
          </w:tcPr>
          <w:p>
            <w:pPr>
              <w:widowControl/>
              <w:spacing w:line="28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评定项目</w:t>
            </w: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　</w:t>
            </w:r>
          </w:p>
        </w:tc>
        <w:tc>
          <w:tcPr>
            <w:tcW w:w="3391" w:type="dxa"/>
            <w:shd w:val="clear" w:color="000000" w:fill="FFFFFF"/>
            <w:vAlign w:val="center"/>
          </w:tcPr>
          <w:p>
            <w:pPr>
              <w:widowControl/>
              <w:spacing w:line="28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评定内容</w:t>
            </w:r>
          </w:p>
        </w:tc>
        <w:tc>
          <w:tcPr>
            <w:tcW w:w="4171" w:type="dxa"/>
            <w:shd w:val="clear" w:color="000000" w:fill="FFFFFF"/>
            <w:vAlign w:val="center"/>
          </w:tcPr>
          <w:p>
            <w:pPr>
              <w:widowControl/>
              <w:spacing w:line="28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评定标准</w:t>
            </w:r>
          </w:p>
        </w:tc>
        <w:tc>
          <w:tcPr>
            <w:tcW w:w="3631" w:type="dxa"/>
            <w:shd w:val="clear" w:color="000000" w:fill="FFFFFF"/>
            <w:vAlign w:val="center"/>
          </w:tcPr>
          <w:p>
            <w:pPr>
              <w:widowControl/>
              <w:spacing w:line="28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评定方式</w:t>
            </w:r>
          </w:p>
        </w:tc>
        <w:tc>
          <w:tcPr>
            <w:tcW w:w="1104" w:type="dxa"/>
            <w:shd w:val="clear" w:color="000000" w:fill="FFFFFF"/>
            <w:vAlign w:val="center"/>
          </w:tcPr>
          <w:p>
            <w:pPr>
              <w:widowControl/>
              <w:spacing w:line="280" w:lineRule="exact"/>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restart"/>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一、消防安全制度落实（20分）</w:t>
            </w: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r>
              <w:rPr>
                <w:rFonts w:hint="eastAsia" w:ascii="仿宋_GB2312" w:hAnsi="仿宋_GB2312" w:eastAsia="仿宋_GB2312" w:cs="仿宋_GB2312"/>
                <w:bCs/>
                <w:color w:val="000000"/>
                <w:kern w:val="0"/>
                <w:sz w:val="22"/>
              </w:rPr>
              <w:t>成立消防安全管理机构，确定消防安全管理机构相关制度。</w:t>
            </w:r>
            <w:r>
              <w:rPr>
                <w:rFonts w:hint="eastAsia" w:ascii="仿宋_GB2312" w:hAnsi="仿宋_GB2312" w:eastAsia="仿宋_GB2312" w:cs="仿宋_GB2312"/>
                <w:color w:val="000000"/>
                <w:kern w:val="0"/>
                <w:sz w:val="22"/>
              </w:rPr>
              <w:t>建立逐级消防安全责任制，层层签订责任书。（5分）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未成立消防安全管理机构，未</w:t>
            </w:r>
            <w:r>
              <w:rPr>
                <w:rFonts w:hint="eastAsia" w:ascii="仿宋_GB2312" w:hAnsi="仿宋_GB2312" w:eastAsia="仿宋_GB2312" w:cs="仿宋_GB2312"/>
                <w:bCs/>
                <w:color w:val="000000"/>
                <w:kern w:val="0"/>
                <w:sz w:val="22"/>
              </w:rPr>
              <w:t>确定消防安全管理机构相关制度，</w:t>
            </w:r>
            <w:r>
              <w:rPr>
                <w:rFonts w:hint="eastAsia" w:ascii="仿宋_GB2312" w:hAnsi="仿宋_GB2312" w:eastAsia="仿宋_GB2312" w:cs="仿宋_GB2312"/>
                <w:color w:val="000000"/>
                <w:kern w:val="0"/>
                <w:sz w:val="22"/>
              </w:rPr>
              <w:t>扣3分；未制定消防安全责任制的，未签订责任书的，扣2分。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检查相关记录。</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★明确消防安全责任人、管理组织、消防安全员和各岗位消防安全职责。（5分）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未明确消防安全责任人、管理人、消防安全员和各岗位消防安全职责，扣3分。消防安全责任人、管理人未掌握本单位的消防安全情况的，扣2分。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检查相关记录。询问消防安全责任人、管理人和安全员。</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4</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★制定和落实年度消防工作计划。（4分）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未制定年度消防工作计划，扣4分。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查看制定消防工作计划和传达上级文件精神的记录。</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5</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★落实消防安全工作经费。（4分）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未提供必要经费的，扣4分。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查看账本、发票、收据、合同或新增消防器材、设施等。</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6</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建立消防安全隐患信息档案和台账，形成隐患目录，并在单位内部公示。（2分）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未建立消防安全隐患信息档案和台账的扣2分。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查阅相关资料。</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restart"/>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二、消防设施设备管理（30分）</w:t>
            </w: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7</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★配备消防设施和器材且完好有效。（4分）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未配备消防器材或消防器材不符合规定要求的，发现一例扣2分，直至扣满4分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现场查看。</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8</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r>
              <w:rPr>
                <w:rFonts w:hint="eastAsia" w:ascii="仿宋_GB2312" w:hAnsi="仿宋_GB2312" w:eastAsia="仿宋_GB2312" w:cs="仿宋_GB2312"/>
                <w:bCs/>
                <w:color w:val="000000"/>
                <w:kern w:val="0"/>
                <w:sz w:val="22"/>
              </w:rPr>
              <w:t>建筑物疏散通道、安全出口和消防安全重点部位等处设置消防警示、提示标识。</w:t>
            </w:r>
            <w:r>
              <w:rPr>
                <w:rFonts w:hint="eastAsia" w:ascii="仿宋_GB2312" w:hAnsi="仿宋_GB2312" w:eastAsia="仿宋_GB2312" w:cs="仿宋_GB2312"/>
                <w:color w:val="000000"/>
                <w:kern w:val="0"/>
                <w:sz w:val="22"/>
              </w:rPr>
              <w:t>（2分）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bCs/>
                <w:color w:val="000000"/>
                <w:kern w:val="0"/>
                <w:sz w:val="22"/>
              </w:rPr>
              <w:t>建筑物疏散通道、安全出口和消防安全重点部位等处未设置消防警示、提示标识的，扣2分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查看消防警示、提示标识，查看疏散通道是否畅通，警示提示标识是否损坏。</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★在醒目位置设立消防安全警示标识，张挂消防安全宣传图标。（2分）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未在醒目位置设立消防安全警示标识，张挂消防安全宣传图标的，扣2分。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查看消防安全警示标识和宣传图标。</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消防设施、器材设置规范、醒目的标识，并用文字或图例标明操作使用方法。（2分）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消防设施、器材未设置规范、醒目的标识的，扣1分；未用文字或图例标明操作使用方法的，扣1分。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查看标识和文字或图例。</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11</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设有消防控制室的，制定消防控制室值班制度。（4分）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未制定消防控制室值班制度的，扣1分；处置程序不熟悉的，扣1分；消防控制室未实行每日24小时专人值班制度的，扣1分；消防控制室的值班、操作人员未持消防设施操作员职业资格证上岗的，扣1分。</w:t>
            </w:r>
          </w:p>
        </w:tc>
        <w:tc>
          <w:tcPr>
            <w:tcW w:w="3631" w:type="dxa"/>
            <w:shd w:val="clear" w:color="000000" w:fill="FFFFFF"/>
            <w:vAlign w:val="center"/>
          </w:tcPr>
          <w:p>
            <w:pPr>
              <w:widowControl/>
              <w:spacing w:line="280" w:lineRule="exac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查看是否张贴消防控制室管理及应急程序，人员值班表，消控室值班记录，操作人员消防设施操作员职业资格证。无消防控制室的本项不涉及。</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12</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★严格火源管理，放置香、烛、灯的供案采用不燃材料，或使用不燃材料进行隔火隔热，倡导文明进香、香烛不进殿，为香客燃香、烧纸箔、放鞭炮等划定专门的燃放区域。（4分）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xml:space="preserve">未在主殿、主堂、藏书等重点要害场所设置“禁止烟火”标志；未为香客燃香、烧纸箔、放鞭炮等划定专门的燃放区域的，放置香、烛、灯的供案未采用不燃材料，或使用不燃材料进行隔火隔热的，信徒和游客进殿燃灯、燃烛、烧纸、焚香的，发现一处扣1分，扣满4分为止。 </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现场查看。</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13</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★严禁私拉乱接电气线路、超负荷用电，严禁使用电炉、热得快等大功率电器。（4分）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电气线路敷设不规范的、用电负荷超额的、未设短路保护装置的、私拉乱接电气线路的、使用“三无”电气产品的，电动车不按规定随意充电的，发现一处扣1分，扣满4分为止。</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现场查看。</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14</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★严禁违反酒精等易燃易爆危险品的使用管理规范，严禁违规储存、使用危险品。（4分）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存在违规储存、使用危险品的扣4分。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现场查看。</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tcBorders>
              <w:bottom w:val="single" w:color="auto" w:sz="4" w:space="0"/>
            </w:tcBorders>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15</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落实生活区与宗教活动区相分离。（4分）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生活区与宗教活动区混设且未采取防火分隔措施，扣4分。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现场查看。</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restart"/>
            <w:tcBorders>
              <w:top w:val="single" w:color="auto" w:sz="4" w:space="0"/>
            </w:tcBorders>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三、消防安全检查巡查（20分）</w:t>
            </w: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16</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r>
              <w:rPr>
                <w:rFonts w:hint="eastAsia" w:ascii="仿宋_GB2312" w:hAnsi="仿宋_GB2312" w:eastAsia="仿宋_GB2312" w:cs="仿宋_GB2312"/>
                <w:bCs/>
                <w:color w:val="000000"/>
                <w:kern w:val="0"/>
                <w:sz w:val="22"/>
              </w:rPr>
              <w:t>建立和落实</w:t>
            </w:r>
            <w:r>
              <w:rPr>
                <w:rFonts w:hint="eastAsia" w:ascii="仿宋_GB2312" w:hAnsi="仿宋_GB2312" w:eastAsia="仿宋_GB2312" w:cs="仿宋_GB2312"/>
                <w:color w:val="000000"/>
                <w:kern w:val="0"/>
                <w:sz w:val="22"/>
              </w:rPr>
              <w:t>消防器材检查巡查制度。（3分）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bCs/>
                <w:color w:val="000000"/>
                <w:kern w:val="0"/>
                <w:sz w:val="22"/>
              </w:rPr>
              <w:t>未建立</w:t>
            </w:r>
            <w:r>
              <w:rPr>
                <w:rFonts w:hint="eastAsia" w:ascii="仿宋_GB2312" w:hAnsi="仿宋_GB2312" w:eastAsia="仿宋_GB2312" w:cs="仿宋_GB2312"/>
                <w:color w:val="000000"/>
                <w:kern w:val="0"/>
                <w:sz w:val="22"/>
              </w:rPr>
              <w:t>消防器材检查巡查制度，</w:t>
            </w:r>
            <w:r>
              <w:rPr>
                <w:rFonts w:hint="eastAsia" w:ascii="仿宋_GB2312" w:hAnsi="仿宋_GB2312" w:eastAsia="仿宋_GB2312" w:cs="仿宋_GB2312"/>
                <w:kern w:val="0"/>
                <w:sz w:val="22"/>
              </w:rPr>
              <w:t>每半年对消防器材进行巡查</w:t>
            </w:r>
            <w:r>
              <w:rPr>
                <w:rFonts w:hint="eastAsia" w:ascii="仿宋_GB2312" w:hAnsi="仿宋_GB2312" w:eastAsia="仿宋_GB2312" w:cs="仿宋_GB2312"/>
                <w:color w:val="000000"/>
                <w:kern w:val="0"/>
                <w:sz w:val="22"/>
              </w:rPr>
              <w:t>，扣3分。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检查相关记录。</w:t>
            </w:r>
          </w:p>
        </w:tc>
        <w:tc>
          <w:tcPr>
            <w:tcW w:w="1104" w:type="dxa"/>
            <w:vAlign w:val="center"/>
          </w:tcPr>
          <w:p>
            <w:pPr>
              <w:widowControl/>
              <w:spacing w:line="280" w:lineRule="exac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tcBorders>
              <w:top w:val="single" w:color="auto" w:sz="4" w:space="0"/>
            </w:tcBorders>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17</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★建立消防安全应急预案。（3分）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bCs/>
                <w:color w:val="000000"/>
                <w:kern w:val="0"/>
                <w:sz w:val="22"/>
              </w:rPr>
            </w:pPr>
            <w:r>
              <w:rPr>
                <w:rFonts w:hint="eastAsia" w:ascii="仿宋_GB2312" w:hAnsi="仿宋_GB2312" w:eastAsia="仿宋_GB2312" w:cs="仿宋_GB2312"/>
                <w:color w:val="000000"/>
                <w:kern w:val="0"/>
                <w:sz w:val="22"/>
              </w:rPr>
              <w:t>未建立和落实消防安全应急预案的，扣3分。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检查相关预案。</w:t>
            </w:r>
          </w:p>
        </w:tc>
        <w:tc>
          <w:tcPr>
            <w:tcW w:w="1104" w:type="dxa"/>
            <w:vAlign w:val="center"/>
          </w:tcPr>
          <w:p>
            <w:pPr>
              <w:widowControl/>
              <w:spacing w:line="280" w:lineRule="exac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tcBorders>
              <w:top w:val="single" w:color="auto" w:sz="4" w:space="0"/>
              <w:bottom w:val="single" w:color="auto" w:sz="4" w:space="0"/>
            </w:tcBorders>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18</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kern w:val="0"/>
                <w:sz w:val="22"/>
              </w:rPr>
              <w:t>聘请有资质单位对消防设施器材巡查维护。（2分）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kern w:val="0"/>
                <w:sz w:val="22"/>
              </w:rPr>
              <w:t>未聘请有资质单位按规定对消防设施进行维保检测，扣2分。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kern w:val="0"/>
                <w:sz w:val="22"/>
              </w:rPr>
              <w:t>查看记录。</w:t>
            </w:r>
          </w:p>
        </w:tc>
        <w:tc>
          <w:tcPr>
            <w:tcW w:w="1104" w:type="dxa"/>
            <w:vAlign w:val="center"/>
          </w:tcPr>
          <w:p>
            <w:pPr>
              <w:widowControl/>
              <w:spacing w:line="280" w:lineRule="exac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tcBorders>
              <w:top w:val="single" w:color="auto" w:sz="4" w:space="0"/>
              <w:bottom w:val="single" w:color="auto" w:sz="4" w:space="0"/>
            </w:tcBorders>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19</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★开展防火巡查、检查和火灾隐患整改。（4分）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未开展日常防火巡查的，扣1分；巡查发现问题未整改的，1分；未形成闭环管理，整改责任、资金、措施、期限和应急预案未实现“五落实”的，扣2分。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kern w:val="0"/>
                <w:sz w:val="22"/>
              </w:rPr>
              <w:t>查看隐患整改记录。</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tcBorders>
              <w:top w:val="single" w:color="auto" w:sz="4" w:space="0"/>
              <w:bottom w:val="single" w:color="auto" w:sz="4" w:space="0"/>
            </w:tcBorders>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★电气线路、燃气管道、厨房烟道等定期检查情况。（4分）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未定期检查电气线路、燃气管道、厨房烟道等的，扣4分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查看记录。</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tcBorders>
              <w:top w:val="single" w:color="auto" w:sz="4" w:space="0"/>
              <w:bottom w:val="single" w:color="auto" w:sz="4" w:space="0"/>
            </w:tcBorders>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21</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大型或重要活动期间，每两小时开展一次防火巡查。（4分）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大型或重要活动期间，每两小时未开展一次防火巡查的，扣4分。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查看记录。</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restart"/>
            <w:tcBorders>
              <w:top w:val="single" w:color="auto" w:sz="4" w:space="0"/>
            </w:tcBorders>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四、消防培训演练（20分）</w:t>
            </w: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22</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★每年至少进行1次消防安全培训。（6分）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每年未对场所常驻人员进行1次消防安全培训的，扣3分；未及时组织新上岗和进入新岗位的人员进行上岗前的消防安全培训的，扣3分。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查看人员名册和培训记录。</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23</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★人人掌握消防常识，会查找火灾隐患、会扑救初起火灾、会组织人员疏散逃生、会开展消防安全宣传教育，掌握消防设施器材使用方法和逃生自救技能。（4分）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抽查场所人员达不到消防安全知识基本要求的，发现一名扣1分，扣满4分为止。</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现场随机问答。</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24</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color w:val="000000"/>
                <w:kern w:val="0"/>
                <w:sz w:val="22"/>
              </w:rPr>
              <w:t>★每年至少开展消防安全演练1次。针对老弱病残等特殊群体，配备相应的轮椅、担架等疏散工具，对无自理能力和行动不便的患者逐一明确疏散救护人员。（6分）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color w:val="000000"/>
                <w:kern w:val="0"/>
                <w:sz w:val="22"/>
              </w:rPr>
              <w:t>每年未开展1次消防安全演练的，扣4分；未制定针对性强的灭火和应急疏散预案的扣2分。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color w:val="000000"/>
                <w:kern w:val="0"/>
                <w:sz w:val="22"/>
              </w:rPr>
              <w:t>查看灭火和应急疏散预案，预案是否符合实际；查看演练记录。</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25</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color w:val="000000"/>
                <w:kern w:val="0"/>
                <w:sz w:val="22"/>
              </w:rPr>
              <w:t>宗教场所举办祭祀、庙会、游园、展览等大型活动应制定灭火和应急疏散预案并预先组织演练。（4分）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color w:val="000000"/>
                <w:kern w:val="0"/>
                <w:sz w:val="22"/>
              </w:rPr>
              <w:t>宗教场所举办祭祀、庙会、游园、展览等大型活动未制定灭火和应急疏散预案并预先组织演练的，扣4分。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查看大型活动灭火和应急疏散预案和演练记录；</w:t>
            </w:r>
          </w:p>
          <w:p>
            <w:pPr>
              <w:widowControl/>
              <w:spacing w:line="28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无</w:t>
            </w:r>
            <w:r>
              <w:rPr>
                <w:rFonts w:hint="eastAsia" w:ascii="仿宋_GB2312" w:hAnsi="仿宋_GB2312" w:eastAsia="仿宋_GB2312" w:cs="仿宋_GB2312"/>
                <w:color w:val="000000"/>
                <w:kern w:val="0"/>
                <w:sz w:val="22"/>
              </w:rPr>
              <w:t>大型活动</w:t>
            </w:r>
            <w:r>
              <w:rPr>
                <w:rFonts w:hint="eastAsia" w:ascii="仿宋_GB2312" w:hAnsi="仿宋_GB2312" w:eastAsia="仿宋_GB2312" w:cs="仿宋_GB2312"/>
                <w:kern w:val="0"/>
                <w:sz w:val="22"/>
              </w:rPr>
              <w:t>此项不涉及。</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543" w:type="dxa"/>
            <w:vMerge w:val="restart"/>
            <w:shd w:val="clear" w:color="000000" w:fill="FFFFFF"/>
            <w:vAlign w:val="center"/>
          </w:tcPr>
          <w:p>
            <w:pPr>
              <w:spacing w:line="28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2"/>
              </w:rPr>
              <w:t>其他（10分）</w:t>
            </w: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26</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自觉接受各级民宗部门和消防救援机构的检查指导，持续加强本单位的消防安全工作。（3分）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未根据民宗部门和消防救援机构部署开展消防安全工作的，扣1分；民宗部门和消防救援机构的检查指导发现火灾隐患问题，未及时整改的扣2分。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根据工作情况。</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27</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color w:val="000000"/>
                <w:kern w:val="0"/>
                <w:sz w:val="22"/>
              </w:rPr>
              <w:t>★</w:t>
            </w:r>
            <w:r>
              <w:rPr>
                <w:rFonts w:hint="eastAsia" w:ascii="仿宋_GB2312" w:hAnsi="仿宋_GB2312" w:eastAsia="仿宋_GB2312" w:cs="仿宋_GB2312"/>
                <w:kern w:val="0"/>
                <w:sz w:val="22"/>
              </w:rPr>
              <w:t>宗教场所不得使用彩钢板等可燃材料进行违章搭建。（4分）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color w:val="000000"/>
                <w:kern w:val="0"/>
                <w:sz w:val="22"/>
              </w:rPr>
              <w:t>发现可燃彩钢板违章搭建的，扣4分；发现违章搭建可燃彩钢板住人的，取消达标资格。</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现场查看。</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28</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color w:val="000000"/>
                <w:kern w:val="0"/>
                <w:sz w:val="22"/>
              </w:rPr>
              <w:t>应当根据需要设立微型消防站，配备必要的人员和消防器材，并定期进行培训和演练。</w:t>
            </w:r>
            <w:r>
              <w:rPr>
                <w:rFonts w:hint="eastAsia" w:ascii="仿宋_GB2312" w:hAnsi="仿宋_GB2312" w:eastAsia="仿宋_GB2312" w:cs="仿宋_GB2312"/>
                <w:kern w:val="0"/>
                <w:sz w:val="22"/>
              </w:rPr>
              <w:t>（3分）</w:t>
            </w:r>
          </w:p>
        </w:tc>
        <w:tc>
          <w:tcPr>
            <w:tcW w:w="417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未根据需要设立微型消防站的扣2分。微型消防站未配备必要的人员和消防器材，并定期进行培训和演练的扣1分。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现场查看。</w:t>
            </w:r>
          </w:p>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不符合设立标准的不涉及。</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3" w:type="dxa"/>
            <w:vMerge w:val="continue"/>
            <w:shd w:val="clear" w:color="000000" w:fill="FFFFFF"/>
            <w:vAlign w:val="center"/>
          </w:tcPr>
          <w:p>
            <w:pPr>
              <w:spacing w:line="280" w:lineRule="exact"/>
              <w:rPr>
                <w:rFonts w:hint="eastAsia" w:ascii="仿宋_GB2312" w:hAnsi="仿宋_GB2312" w:eastAsia="仿宋_GB2312" w:cs="仿宋_GB2312"/>
              </w:rPr>
            </w:pPr>
          </w:p>
        </w:tc>
        <w:tc>
          <w:tcPr>
            <w:tcW w:w="687" w:type="dxa"/>
            <w:shd w:val="clear" w:color="000000" w:fill="FFFFFF"/>
            <w:vAlign w:val="center"/>
          </w:tcPr>
          <w:p>
            <w:pPr>
              <w:widowControl/>
              <w:spacing w:line="280" w:lineRule="exact"/>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29</w:t>
            </w:r>
          </w:p>
        </w:tc>
        <w:tc>
          <w:tcPr>
            <w:tcW w:w="339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鼓励运用物联网、大数据等技术，全时段、可视化监测消防安全状况，实时化、智能化评估消防安全风险，及时发现、消除隐患。</w:t>
            </w:r>
          </w:p>
        </w:tc>
        <w:tc>
          <w:tcPr>
            <w:tcW w:w="4171" w:type="dxa"/>
            <w:shd w:val="clear" w:color="000000" w:fill="FFFFFF"/>
            <w:vAlign w:val="center"/>
          </w:tcPr>
          <w:p>
            <w:pPr>
              <w:spacing w:line="280" w:lineRule="exac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运用物联网、大数据等技术，全时段、可视化监测消防安全状况，实时化、智能化评估消防安全风险，及时发现、消除隐患的，加5分</w:t>
            </w:r>
          </w:p>
        </w:tc>
        <w:tc>
          <w:tcPr>
            <w:tcW w:w="3631" w:type="dxa"/>
            <w:shd w:val="clear" w:color="000000" w:fill="FFFFFF"/>
            <w:vAlign w:val="center"/>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现场查看。</w:t>
            </w:r>
          </w:p>
        </w:tc>
        <w:tc>
          <w:tcPr>
            <w:tcW w:w="1104" w:type="dxa"/>
            <w:vAlign w:val="center"/>
          </w:tcPr>
          <w:p>
            <w:pPr>
              <w:widowControl/>
              <w:spacing w:line="280" w:lineRule="exact"/>
              <w:jc w:val="left"/>
              <w:rPr>
                <w:rFonts w:hint="eastAsia" w:ascii="仿宋_GB2312" w:hAnsi="仿宋_GB2312" w:eastAsia="仿宋_GB2312" w:cs="仿宋_GB2312"/>
                <w:color w:val="000000"/>
                <w:kern w:val="0"/>
                <w:sz w:val="22"/>
              </w:rPr>
            </w:pPr>
          </w:p>
        </w:tc>
      </w:tr>
    </w:tbl>
    <w:p>
      <w:pPr>
        <w:spacing w:line="280" w:lineRule="exact"/>
        <w:rPr>
          <w:rFonts w:hint="eastAsia" w:ascii="仿宋_GB2312" w:hAnsi="仿宋_GB2312" w:eastAsia="仿宋_GB2312" w:cs="仿宋_GB2312"/>
          <w:sz w:val="24"/>
          <w:szCs w:val="24"/>
        </w:rPr>
      </w:pPr>
    </w:p>
    <w:p>
      <w:pPr>
        <w:spacing w:line="280" w:lineRule="exact"/>
        <w:rPr>
          <w:rFonts w:hint="eastAsia" w:ascii="仿宋_GB2312" w:hAnsi="仿宋_GB2312" w:eastAsia="仿宋_GB2312" w:cs="仿宋_GB2312"/>
          <w:spacing w:val="4"/>
        </w:rPr>
      </w:pPr>
      <w:r>
        <w:rPr>
          <w:rFonts w:hint="eastAsia" w:ascii="仿宋_GB2312" w:hAnsi="仿宋_GB2312" w:eastAsia="仿宋_GB2312" w:cs="仿宋_GB2312"/>
          <w:sz w:val="24"/>
          <w:szCs w:val="24"/>
        </w:rPr>
        <w:t>标“★”为必达标项，考评实行“双达标”，即：同时满足“★”项达标80%以上和总分达标等两个条件，考评方可达标。</w:t>
      </w:r>
    </w:p>
    <w:p>
      <w:pPr>
        <w:tabs>
          <w:tab w:val="left" w:pos="5250"/>
        </w:tabs>
        <w:spacing w:line="560" w:lineRule="exact"/>
        <w:rPr>
          <w:rFonts w:hint="eastAsia" w:ascii="仿宋_GB2312" w:hAnsi="仿宋_GB2312" w:eastAsia="仿宋_GB2312" w:cs="仿宋_GB2312"/>
          <w:sz w:val="28"/>
          <w:szCs w:val="28"/>
        </w:rPr>
      </w:pPr>
    </w:p>
    <w:p>
      <w:pPr>
        <w:tabs>
          <w:tab w:val="left" w:pos="5250"/>
        </w:tabs>
        <w:spacing w:line="560" w:lineRule="exact"/>
        <w:rPr>
          <w:rFonts w:hint="eastAsia" w:ascii="仿宋_GB2312" w:hAnsi="仿宋_GB2312" w:eastAsia="仿宋_GB2312" w:cs="仿宋_GB2312"/>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tabs>
          <w:tab w:val="left" w:pos="5250"/>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单位消防安全“三自主两公开一承诺”登记表</w:t>
      </w:r>
    </w:p>
    <w:p>
      <w:pPr>
        <w:widowControl/>
        <w:adjustRightInd w:val="0"/>
        <w:snapToGrid w:val="0"/>
        <w:ind w:left="-540" w:leftChars="-257"/>
        <w:jc w:val="left"/>
        <w:rPr>
          <w:rFonts w:hint="eastAsia" w:ascii="仿宋_GB2312" w:hAnsi="仿宋_GB2312" w:eastAsia="仿宋_GB2312" w:cs="仿宋_GB2312"/>
          <w:sz w:val="28"/>
          <w:szCs w:val="28"/>
        </w:rPr>
      </w:pPr>
    </w:p>
    <w:p>
      <w:pPr>
        <w:widowControl/>
        <w:adjustRightInd w:val="0"/>
        <w:snapToGrid w:val="0"/>
        <w:ind w:left="-540" w:leftChars="-257"/>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填报单位（印章）：         填表人：           联系方式：         填报时间：  年  月  日</w:t>
      </w:r>
    </w:p>
    <w:tbl>
      <w:tblPr>
        <w:tblStyle w:val="3"/>
        <w:tblW w:w="10216"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385"/>
        <w:gridCol w:w="82"/>
        <w:gridCol w:w="281"/>
        <w:gridCol w:w="201"/>
        <w:gridCol w:w="758"/>
        <w:gridCol w:w="145"/>
        <w:gridCol w:w="115"/>
        <w:gridCol w:w="759"/>
        <w:gridCol w:w="544"/>
        <w:gridCol w:w="412"/>
        <w:gridCol w:w="296"/>
        <w:gridCol w:w="422"/>
        <w:gridCol w:w="485"/>
        <w:gridCol w:w="181"/>
        <w:gridCol w:w="468"/>
        <w:gridCol w:w="142"/>
        <w:gridCol w:w="511"/>
        <w:gridCol w:w="56"/>
        <w:gridCol w:w="10"/>
        <w:gridCol w:w="982"/>
        <w:gridCol w:w="7"/>
        <w:gridCol w:w="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527" w:hRule="atLeast"/>
        </w:trPr>
        <w:tc>
          <w:tcPr>
            <w:tcW w:w="1737"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单位（法人）</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名  称</w:t>
            </w:r>
          </w:p>
        </w:tc>
        <w:tc>
          <w:tcPr>
            <w:tcW w:w="4270" w:type="dxa"/>
            <w:gridSpan w:val="9"/>
            <w:vAlign w:val="center"/>
          </w:tcPr>
          <w:p>
            <w:pPr>
              <w:widowControl/>
              <w:adjustRightInd w:val="0"/>
              <w:snapToGrid w:val="0"/>
              <w:jc w:val="center"/>
              <w:rPr>
                <w:rFonts w:hint="eastAsia" w:ascii="仿宋_GB2312" w:hAnsi="仿宋_GB2312" w:eastAsia="仿宋_GB2312" w:cs="仿宋_GB2312"/>
                <w:kern w:val="0"/>
                <w:szCs w:val="21"/>
              </w:rPr>
            </w:pPr>
          </w:p>
        </w:tc>
        <w:tc>
          <w:tcPr>
            <w:tcW w:w="1130" w:type="dxa"/>
            <w:gridSpan w:val="3"/>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统一社会</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信用代码</w:t>
            </w:r>
          </w:p>
        </w:tc>
        <w:tc>
          <w:tcPr>
            <w:tcW w:w="2835" w:type="dxa"/>
            <w:gridSpan w:val="8"/>
            <w:vAlign w:val="center"/>
          </w:tcPr>
          <w:p>
            <w:pPr>
              <w:widowControl/>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527" w:hRule="atLeast"/>
        </w:trPr>
        <w:tc>
          <w:tcPr>
            <w:tcW w:w="1737"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单位（场所）</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实际名称</w:t>
            </w:r>
          </w:p>
        </w:tc>
        <w:tc>
          <w:tcPr>
            <w:tcW w:w="4270" w:type="dxa"/>
            <w:gridSpan w:val="9"/>
            <w:vAlign w:val="center"/>
          </w:tcPr>
          <w:p>
            <w:pPr>
              <w:widowControl/>
              <w:adjustRightInd w:val="0"/>
              <w:snapToGrid w:val="0"/>
              <w:jc w:val="center"/>
              <w:rPr>
                <w:rFonts w:hint="eastAsia" w:ascii="仿宋_GB2312" w:hAnsi="仿宋_GB2312" w:eastAsia="仿宋_GB2312" w:cs="仿宋_GB2312"/>
                <w:kern w:val="0"/>
                <w:szCs w:val="21"/>
              </w:rPr>
            </w:pPr>
          </w:p>
        </w:tc>
        <w:tc>
          <w:tcPr>
            <w:tcW w:w="1130" w:type="dxa"/>
            <w:gridSpan w:val="3"/>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单位使用</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  质</w:t>
            </w:r>
          </w:p>
        </w:tc>
        <w:tc>
          <w:tcPr>
            <w:tcW w:w="2835" w:type="dxa"/>
            <w:gridSpan w:val="8"/>
            <w:vAlign w:val="center"/>
          </w:tcPr>
          <w:p>
            <w:pPr>
              <w:widowControl/>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29" w:hRule="atLeast"/>
        </w:trPr>
        <w:tc>
          <w:tcPr>
            <w:tcW w:w="1737"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地  址</w:t>
            </w:r>
          </w:p>
        </w:tc>
        <w:tc>
          <w:tcPr>
            <w:tcW w:w="8235" w:type="dxa"/>
            <w:gridSpan w:val="20"/>
            <w:vAlign w:val="center"/>
          </w:tcPr>
          <w:p>
            <w:pPr>
              <w:widowControl/>
              <w:adjustRightInd w:val="0"/>
              <w:snapToGrid w:val="0"/>
              <w:ind w:firstLine="1050" w:firstLineChars="5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市       县（市、区）        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94" w:hRule="atLeast"/>
        </w:trPr>
        <w:tc>
          <w:tcPr>
            <w:tcW w:w="1737" w:type="dxa"/>
            <w:vMerge w:val="restart"/>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消防安全</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责任人</w:t>
            </w:r>
          </w:p>
        </w:tc>
        <w:tc>
          <w:tcPr>
            <w:tcW w:w="1748" w:type="dxa"/>
            <w:gridSpan w:val="3"/>
            <w:vMerge w:val="restart"/>
            <w:vAlign w:val="center"/>
          </w:tcPr>
          <w:p>
            <w:pPr>
              <w:widowControl/>
              <w:adjustRightInd w:val="0"/>
              <w:snapToGrid w:val="0"/>
              <w:jc w:val="center"/>
              <w:rPr>
                <w:rFonts w:hint="eastAsia" w:ascii="仿宋_GB2312" w:hAnsi="仿宋_GB2312" w:eastAsia="仿宋_GB2312" w:cs="仿宋_GB2312"/>
                <w:kern w:val="0"/>
                <w:szCs w:val="21"/>
              </w:rPr>
            </w:pPr>
          </w:p>
        </w:tc>
        <w:tc>
          <w:tcPr>
            <w:tcW w:w="1219" w:type="dxa"/>
            <w:gridSpan w:val="4"/>
            <w:vMerge w:val="restart"/>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消防安全管理人</w:t>
            </w:r>
          </w:p>
        </w:tc>
        <w:tc>
          <w:tcPr>
            <w:tcW w:w="1303" w:type="dxa"/>
            <w:gridSpan w:val="2"/>
            <w:vMerge w:val="restart"/>
            <w:vAlign w:val="center"/>
          </w:tcPr>
          <w:p>
            <w:pPr>
              <w:widowControl/>
              <w:adjustRightInd w:val="0"/>
              <w:snapToGrid w:val="0"/>
              <w:jc w:val="center"/>
              <w:rPr>
                <w:rFonts w:hint="eastAsia" w:ascii="仿宋_GB2312" w:hAnsi="仿宋_GB2312" w:eastAsia="仿宋_GB2312" w:cs="仿宋_GB2312"/>
                <w:kern w:val="0"/>
                <w:szCs w:val="21"/>
              </w:rPr>
            </w:pPr>
          </w:p>
        </w:tc>
        <w:tc>
          <w:tcPr>
            <w:tcW w:w="1130" w:type="dxa"/>
            <w:gridSpan w:val="3"/>
            <w:vMerge w:val="restart"/>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联系电话</w:t>
            </w:r>
          </w:p>
        </w:tc>
        <w:tc>
          <w:tcPr>
            <w:tcW w:w="1276" w:type="dxa"/>
            <w:gridSpan w:val="4"/>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手机</w:t>
            </w:r>
          </w:p>
        </w:tc>
        <w:tc>
          <w:tcPr>
            <w:tcW w:w="1559" w:type="dxa"/>
            <w:gridSpan w:val="4"/>
            <w:vAlign w:val="center"/>
          </w:tcPr>
          <w:p>
            <w:pPr>
              <w:widowControl/>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94" w:hRule="atLeast"/>
        </w:trPr>
        <w:tc>
          <w:tcPr>
            <w:tcW w:w="1737" w:type="dxa"/>
            <w:vMerge w:val="continue"/>
            <w:vAlign w:val="center"/>
          </w:tcPr>
          <w:p>
            <w:pPr>
              <w:widowControl/>
              <w:adjustRightInd w:val="0"/>
              <w:snapToGrid w:val="0"/>
              <w:jc w:val="center"/>
              <w:rPr>
                <w:rFonts w:hint="eastAsia" w:ascii="仿宋_GB2312" w:hAnsi="仿宋_GB2312" w:eastAsia="仿宋_GB2312" w:cs="仿宋_GB2312"/>
                <w:kern w:val="0"/>
                <w:szCs w:val="21"/>
              </w:rPr>
            </w:pPr>
          </w:p>
        </w:tc>
        <w:tc>
          <w:tcPr>
            <w:tcW w:w="1748" w:type="dxa"/>
            <w:gridSpan w:val="3"/>
            <w:vMerge w:val="continue"/>
            <w:vAlign w:val="center"/>
          </w:tcPr>
          <w:p>
            <w:pPr>
              <w:widowControl/>
              <w:adjustRightInd w:val="0"/>
              <w:snapToGrid w:val="0"/>
              <w:jc w:val="center"/>
              <w:rPr>
                <w:rFonts w:hint="eastAsia" w:ascii="仿宋_GB2312" w:hAnsi="仿宋_GB2312" w:eastAsia="仿宋_GB2312" w:cs="仿宋_GB2312"/>
                <w:kern w:val="0"/>
                <w:szCs w:val="21"/>
              </w:rPr>
            </w:pPr>
          </w:p>
        </w:tc>
        <w:tc>
          <w:tcPr>
            <w:tcW w:w="1219" w:type="dxa"/>
            <w:gridSpan w:val="4"/>
            <w:vMerge w:val="continue"/>
            <w:vAlign w:val="center"/>
          </w:tcPr>
          <w:p>
            <w:pPr>
              <w:widowControl/>
              <w:adjustRightInd w:val="0"/>
              <w:snapToGrid w:val="0"/>
              <w:jc w:val="center"/>
              <w:rPr>
                <w:rFonts w:hint="eastAsia" w:ascii="仿宋_GB2312" w:hAnsi="仿宋_GB2312" w:eastAsia="仿宋_GB2312" w:cs="仿宋_GB2312"/>
                <w:kern w:val="0"/>
                <w:szCs w:val="21"/>
              </w:rPr>
            </w:pPr>
          </w:p>
        </w:tc>
        <w:tc>
          <w:tcPr>
            <w:tcW w:w="1303" w:type="dxa"/>
            <w:gridSpan w:val="2"/>
            <w:vMerge w:val="continue"/>
            <w:vAlign w:val="center"/>
          </w:tcPr>
          <w:p>
            <w:pPr>
              <w:widowControl/>
              <w:adjustRightInd w:val="0"/>
              <w:snapToGrid w:val="0"/>
              <w:jc w:val="center"/>
              <w:rPr>
                <w:rFonts w:hint="eastAsia" w:ascii="仿宋_GB2312" w:hAnsi="仿宋_GB2312" w:eastAsia="仿宋_GB2312" w:cs="仿宋_GB2312"/>
                <w:kern w:val="0"/>
                <w:szCs w:val="21"/>
              </w:rPr>
            </w:pPr>
          </w:p>
        </w:tc>
        <w:tc>
          <w:tcPr>
            <w:tcW w:w="1130" w:type="dxa"/>
            <w:gridSpan w:val="3"/>
            <w:vMerge w:val="continue"/>
            <w:vAlign w:val="center"/>
          </w:tcPr>
          <w:p>
            <w:pPr>
              <w:widowControl/>
              <w:adjustRightInd w:val="0"/>
              <w:snapToGrid w:val="0"/>
              <w:jc w:val="center"/>
              <w:rPr>
                <w:rFonts w:hint="eastAsia" w:ascii="仿宋_GB2312" w:hAnsi="仿宋_GB2312" w:eastAsia="仿宋_GB2312" w:cs="仿宋_GB2312"/>
                <w:kern w:val="0"/>
                <w:szCs w:val="21"/>
              </w:rPr>
            </w:pPr>
          </w:p>
        </w:tc>
        <w:tc>
          <w:tcPr>
            <w:tcW w:w="1276" w:type="dxa"/>
            <w:gridSpan w:val="4"/>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固话</w:t>
            </w:r>
          </w:p>
        </w:tc>
        <w:tc>
          <w:tcPr>
            <w:tcW w:w="1559" w:type="dxa"/>
            <w:gridSpan w:val="4"/>
            <w:vAlign w:val="center"/>
          </w:tcPr>
          <w:p>
            <w:pPr>
              <w:widowControl/>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193" w:hRule="atLeast"/>
        </w:trPr>
        <w:tc>
          <w:tcPr>
            <w:tcW w:w="1737"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是否自主消防</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安全管理</w:t>
            </w:r>
          </w:p>
        </w:tc>
        <w:tc>
          <w:tcPr>
            <w:tcW w:w="1748" w:type="dxa"/>
            <w:gridSpan w:val="3"/>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  否□</w:t>
            </w:r>
          </w:p>
        </w:tc>
        <w:tc>
          <w:tcPr>
            <w:tcW w:w="2522" w:type="dxa"/>
            <w:gridSpan w:val="6"/>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消防安全管理单位名称</w:t>
            </w:r>
          </w:p>
        </w:tc>
        <w:tc>
          <w:tcPr>
            <w:tcW w:w="3965" w:type="dxa"/>
            <w:gridSpan w:val="11"/>
            <w:vAlign w:val="center"/>
          </w:tcPr>
          <w:p>
            <w:pPr>
              <w:spacing w:line="40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86" w:hRule="atLeast"/>
        </w:trPr>
        <w:tc>
          <w:tcPr>
            <w:tcW w:w="1737"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直属上级</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单位名称</w:t>
            </w:r>
          </w:p>
        </w:tc>
        <w:tc>
          <w:tcPr>
            <w:tcW w:w="8235" w:type="dxa"/>
            <w:gridSpan w:val="20"/>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86" w:hRule="atLeast"/>
        </w:trPr>
        <w:tc>
          <w:tcPr>
            <w:tcW w:w="1737" w:type="dxa"/>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单位与所在</w:t>
            </w:r>
          </w:p>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建筑关系</w:t>
            </w:r>
          </w:p>
        </w:tc>
        <w:tc>
          <w:tcPr>
            <w:tcW w:w="3726" w:type="dxa"/>
            <w:gridSpan w:val="8"/>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同一建筑     □</w:t>
            </w:r>
          </w:p>
        </w:tc>
        <w:tc>
          <w:tcPr>
            <w:tcW w:w="1252" w:type="dxa"/>
            <w:gridSpan w:val="3"/>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单位的经营活动场所是否涉及地下</w:t>
            </w:r>
          </w:p>
        </w:tc>
        <w:tc>
          <w:tcPr>
            <w:tcW w:w="907" w:type="dxa"/>
            <w:gridSpan w:val="2"/>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w:t>
            </w:r>
          </w:p>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否□</w:t>
            </w:r>
          </w:p>
        </w:tc>
        <w:tc>
          <w:tcPr>
            <w:tcW w:w="1368" w:type="dxa"/>
            <w:gridSpan w:val="6"/>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是否设在建筑底层沿街（商业综合体除外）</w:t>
            </w:r>
          </w:p>
        </w:tc>
        <w:tc>
          <w:tcPr>
            <w:tcW w:w="982" w:type="dxa"/>
            <w:vMerge w:val="restart"/>
            <w:vAlign w:val="center"/>
          </w:tcPr>
          <w:p>
            <w:pPr>
              <w:widowControl/>
              <w:adjustRightInd w:val="0"/>
              <w:snapToGrid w:val="0"/>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w:t>
            </w:r>
          </w:p>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86" w:hRule="atLeast"/>
        </w:trPr>
        <w:tc>
          <w:tcPr>
            <w:tcW w:w="1737" w:type="dxa"/>
            <w:vMerge w:val="continue"/>
            <w:vAlign w:val="center"/>
          </w:tcPr>
          <w:p>
            <w:pPr>
              <w:widowControl/>
              <w:adjustRightInd w:val="0"/>
              <w:snapToGrid w:val="0"/>
              <w:jc w:val="center"/>
              <w:rPr>
                <w:rFonts w:hint="eastAsia" w:ascii="仿宋_GB2312" w:hAnsi="仿宋_GB2312" w:eastAsia="仿宋_GB2312" w:cs="仿宋_GB2312"/>
                <w:kern w:val="0"/>
                <w:szCs w:val="21"/>
              </w:rPr>
            </w:pPr>
          </w:p>
        </w:tc>
        <w:tc>
          <w:tcPr>
            <w:tcW w:w="3726" w:type="dxa"/>
            <w:gridSpan w:val="8"/>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使用局部     □</w:t>
            </w:r>
          </w:p>
        </w:tc>
        <w:tc>
          <w:tcPr>
            <w:tcW w:w="1252" w:type="dxa"/>
            <w:gridSpan w:val="3"/>
            <w:vMerge w:val="continue"/>
            <w:vAlign w:val="center"/>
          </w:tcPr>
          <w:p>
            <w:pPr>
              <w:widowControl/>
              <w:adjustRightInd w:val="0"/>
              <w:snapToGrid w:val="0"/>
              <w:rPr>
                <w:rFonts w:hint="eastAsia" w:ascii="仿宋_GB2312" w:hAnsi="仿宋_GB2312" w:eastAsia="仿宋_GB2312" w:cs="仿宋_GB2312"/>
                <w:kern w:val="0"/>
                <w:szCs w:val="21"/>
              </w:rPr>
            </w:pPr>
          </w:p>
        </w:tc>
        <w:tc>
          <w:tcPr>
            <w:tcW w:w="907" w:type="dxa"/>
            <w:gridSpan w:val="2"/>
            <w:vMerge w:val="continue"/>
            <w:vAlign w:val="center"/>
          </w:tcPr>
          <w:p>
            <w:pPr>
              <w:widowControl/>
              <w:adjustRightInd w:val="0"/>
              <w:snapToGrid w:val="0"/>
              <w:rPr>
                <w:rFonts w:hint="eastAsia" w:ascii="仿宋_GB2312" w:hAnsi="仿宋_GB2312" w:eastAsia="仿宋_GB2312" w:cs="仿宋_GB2312"/>
                <w:kern w:val="0"/>
                <w:szCs w:val="21"/>
              </w:rPr>
            </w:pPr>
          </w:p>
        </w:tc>
        <w:tc>
          <w:tcPr>
            <w:tcW w:w="1368" w:type="dxa"/>
            <w:gridSpan w:val="6"/>
            <w:vMerge w:val="continue"/>
            <w:vAlign w:val="center"/>
          </w:tcPr>
          <w:p>
            <w:pPr>
              <w:widowControl/>
              <w:adjustRightInd w:val="0"/>
              <w:snapToGrid w:val="0"/>
              <w:rPr>
                <w:rFonts w:hint="eastAsia" w:ascii="仿宋_GB2312" w:hAnsi="仿宋_GB2312" w:eastAsia="仿宋_GB2312" w:cs="仿宋_GB2312"/>
                <w:kern w:val="0"/>
                <w:szCs w:val="21"/>
              </w:rPr>
            </w:pPr>
          </w:p>
        </w:tc>
        <w:tc>
          <w:tcPr>
            <w:tcW w:w="982" w:type="dxa"/>
            <w:vMerge w:val="continue"/>
            <w:vAlign w:val="center"/>
          </w:tcPr>
          <w:p>
            <w:pPr>
              <w:widowControl/>
              <w:adjustRightInd w:val="0"/>
              <w:snapToGrid w:val="0"/>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86" w:hRule="atLeast"/>
        </w:trPr>
        <w:tc>
          <w:tcPr>
            <w:tcW w:w="1737" w:type="dxa"/>
            <w:vMerge w:val="continue"/>
            <w:vAlign w:val="center"/>
          </w:tcPr>
          <w:p>
            <w:pPr>
              <w:widowControl/>
              <w:adjustRightInd w:val="0"/>
              <w:snapToGrid w:val="0"/>
              <w:jc w:val="center"/>
              <w:rPr>
                <w:rFonts w:hint="eastAsia" w:ascii="仿宋_GB2312" w:hAnsi="仿宋_GB2312" w:eastAsia="仿宋_GB2312" w:cs="仿宋_GB2312"/>
                <w:kern w:val="0"/>
                <w:szCs w:val="21"/>
              </w:rPr>
            </w:pPr>
          </w:p>
        </w:tc>
        <w:tc>
          <w:tcPr>
            <w:tcW w:w="1949" w:type="dxa"/>
            <w:gridSpan w:val="4"/>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涵盖多栋建筑 □</w:t>
            </w:r>
          </w:p>
        </w:tc>
        <w:tc>
          <w:tcPr>
            <w:tcW w:w="758"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建筑</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数量</w:t>
            </w:r>
          </w:p>
        </w:tc>
        <w:tc>
          <w:tcPr>
            <w:tcW w:w="1019" w:type="dxa"/>
            <w:gridSpan w:val="3"/>
            <w:vAlign w:val="center"/>
          </w:tcPr>
          <w:p>
            <w:pPr>
              <w:adjustRightInd w:val="0"/>
              <w:snapToGrid w:val="0"/>
              <w:rPr>
                <w:rFonts w:hint="eastAsia" w:ascii="仿宋_GB2312" w:hAnsi="仿宋_GB2312" w:eastAsia="仿宋_GB2312" w:cs="仿宋_GB2312"/>
                <w:kern w:val="0"/>
                <w:szCs w:val="21"/>
              </w:rPr>
            </w:pPr>
          </w:p>
        </w:tc>
        <w:tc>
          <w:tcPr>
            <w:tcW w:w="1252" w:type="dxa"/>
            <w:gridSpan w:val="3"/>
            <w:vMerge w:val="continue"/>
            <w:vAlign w:val="center"/>
          </w:tcPr>
          <w:p>
            <w:pPr>
              <w:adjustRightInd w:val="0"/>
              <w:snapToGrid w:val="0"/>
              <w:rPr>
                <w:rFonts w:hint="eastAsia" w:ascii="仿宋_GB2312" w:hAnsi="仿宋_GB2312" w:eastAsia="仿宋_GB2312" w:cs="仿宋_GB2312"/>
                <w:kern w:val="0"/>
                <w:szCs w:val="21"/>
              </w:rPr>
            </w:pPr>
          </w:p>
        </w:tc>
        <w:tc>
          <w:tcPr>
            <w:tcW w:w="907" w:type="dxa"/>
            <w:gridSpan w:val="2"/>
            <w:vMerge w:val="continue"/>
            <w:vAlign w:val="center"/>
          </w:tcPr>
          <w:p>
            <w:pPr>
              <w:widowControl/>
              <w:adjustRightInd w:val="0"/>
              <w:snapToGrid w:val="0"/>
              <w:ind w:firstLine="210" w:firstLineChars="100"/>
              <w:rPr>
                <w:rFonts w:hint="eastAsia" w:ascii="仿宋_GB2312" w:hAnsi="仿宋_GB2312" w:eastAsia="仿宋_GB2312" w:cs="仿宋_GB2312"/>
                <w:szCs w:val="21"/>
              </w:rPr>
            </w:pPr>
          </w:p>
        </w:tc>
        <w:tc>
          <w:tcPr>
            <w:tcW w:w="1368" w:type="dxa"/>
            <w:gridSpan w:val="6"/>
            <w:vMerge w:val="continue"/>
            <w:vAlign w:val="center"/>
          </w:tcPr>
          <w:p>
            <w:pPr>
              <w:widowControl/>
              <w:adjustRightInd w:val="0"/>
              <w:snapToGrid w:val="0"/>
              <w:ind w:firstLine="210" w:firstLineChars="100"/>
              <w:rPr>
                <w:rFonts w:hint="eastAsia" w:ascii="仿宋_GB2312" w:hAnsi="仿宋_GB2312" w:eastAsia="仿宋_GB2312" w:cs="仿宋_GB2312"/>
                <w:szCs w:val="21"/>
              </w:rPr>
            </w:pPr>
          </w:p>
        </w:tc>
        <w:tc>
          <w:tcPr>
            <w:tcW w:w="982" w:type="dxa"/>
            <w:vMerge w:val="continue"/>
            <w:vAlign w:val="center"/>
          </w:tcPr>
          <w:p>
            <w:pPr>
              <w:widowControl/>
              <w:adjustRightInd w:val="0"/>
              <w:snapToGrid w:val="0"/>
              <w:ind w:firstLine="210" w:firstLineChars="10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86" w:hRule="atLeast"/>
        </w:trPr>
        <w:tc>
          <w:tcPr>
            <w:tcW w:w="1737"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单位（场所）</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467" w:type="dxa"/>
            <w:gridSpan w:val="2"/>
            <w:vAlign w:val="center"/>
          </w:tcPr>
          <w:p>
            <w:pPr>
              <w:widowControl/>
              <w:adjustRightInd w:val="0"/>
              <w:snapToGrid w:val="0"/>
              <w:jc w:val="center"/>
              <w:rPr>
                <w:rFonts w:hint="eastAsia" w:ascii="仿宋_GB2312" w:hAnsi="仿宋_GB2312" w:eastAsia="仿宋_GB2312" w:cs="仿宋_GB2312"/>
                <w:kern w:val="0"/>
                <w:szCs w:val="21"/>
              </w:rPr>
            </w:pPr>
          </w:p>
        </w:tc>
        <w:tc>
          <w:tcPr>
            <w:tcW w:w="2259" w:type="dxa"/>
            <w:gridSpan w:val="6"/>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所处建筑部位</w:t>
            </w:r>
          </w:p>
        </w:tc>
        <w:tc>
          <w:tcPr>
            <w:tcW w:w="1252" w:type="dxa"/>
            <w:gridSpan w:val="3"/>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所在建筑物名称</w:t>
            </w:r>
          </w:p>
        </w:tc>
        <w:tc>
          <w:tcPr>
            <w:tcW w:w="1556" w:type="dxa"/>
            <w:gridSpan w:val="4"/>
            <w:vAlign w:val="center"/>
          </w:tcPr>
          <w:p>
            <w:pPr>
              <w:spacing w:line="280" w:lineRule="exact"/>
              <w:jc w:val="center"/>
              <w:rPr>
                <w:rFonts w:hint="eastAsia" w:ascii="仿宋_GB2312" w:hAnsi="仿宋_GB2312" w:eastAsia="仿宋_GB2312" w:cs="仿宋_GB2312"/>
                <w:szCs w:val="21"/>
              </w:rPr>
            </w:pPr>
          </w:p>
        </w:tc>
        <w:tc>
          <w:tcPr>
            <w:tcW w:w="709" w:type="dxa"/>
            <w:gridSpan w:val="3"/>
            <w:vAlign w:val="center"/>
          </w:tcPr>
          <w:p>
            <w:pPr>
              <w:spacing w:line="28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建成</w:t>
            </w:r>
          </w:p>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年代</w:t>
            </w:r>
          </w:p>
        </w:tc>
        <w:tc>
          <w:tcPr>
            <w:tcW w:w="992" w:type="dxa"/>
            <w:gridSpan w:val="2"/>
            <w:vAlign w:val="center"/>
          </w:tcPr>
          <w:p>
            <w:pPr>
              <w:spacing w:line="28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02" w:hRule="atLeast"/>
        </w:trPr>
        <w:tc>
          <w:tcPr>
            <w:tcW w:w="1737" w:type="dxa"/>
            <w:vMerge w:val="restart"/>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建筑层数</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【建筑面积】</w:t>
            </w:r>
          </w:p>
        </w:tc>
        <w:tc>
          <w:tcPr>
            <w:tcW w:w="1467" w:type="dxa"/>
            <w:gridSpan w:val="2"/>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地上</w:t>
            </w:r>
          </w:p>
        </w:tc>
        <w:tc>
          <w:tcPr>
            <w:tcW w:w="2259" w:type="dxa"/>
            <w:gridSpan w:val="6"/>
            <w:vAlign w:val="center"/>
          </w:tcPr>
          <w:p>
            <w:pPr>
              <w:widowControl/>
              <w:wordWrap w:val="0"/>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层      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 xml:space="preserve">   </w:t>
            </w:r>
          </w:p>
        </w:tc>
        <w:tc>
          <w:tcPr>
            <w:tcW w:w="1252" w:type="dxa"/>
            <w:gridSpan w:val="3"/>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建筑高度（m）</w:t>
            </w:r>
          </w:p>
        </w:tc>
        <w:tc>
          <w:tcPr>
            <w:tcW w:w="3257" w:type="dxa"/>
            <w:gridSpan w:val="9"/>
            <w:vMerge w:val="restart"/>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10" w:hRule="atLeast"/>
        </w:trPr>
        <w:tc>
          <w:tcPr>
            <w:tcW w:w="1737" w:type="dxa"/>
            <w:vMerge w:val="continue"/>
            <w:vAlign w:val="center"/>
          </w:tcPr>
          <w:p>
            <w:pPr>
              <w:widowControl/>
              <w:adjustRightInd w:val="0"/>
              <w:snapToGrid w:val="0"/>
              <w:jc w:val="center"/>
              <w:rPr>
                <w:rFonts w:hint="eastAsia" w:ascii="仿宋_GB2312" w:hAnsi="仿宋_GB2312" w:eastAsia="仿宋_GB2312" w:cs="仿宋_GB2312"/>
                <w:kern w:val="0"/>
                <w:szCs w:val="21"/>
              </w:rPr>
            </w:pPr>
          </w:p>
        </w:tc>
        <w:tc>
          <w:tcPr>
            <w:tcW w:w="1467" w:type="dxa"/>
            <w:gridSpan w:val="2"/>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地下</w:t>
            </w:r>
          </w:p>
        </w:tc>
        <w:tc>
          <w:tcPr>
            <w:tcW w:w="2259" w:type="dxa"/>
            <w:gridSpan w:val="6"/>
            <w:vAlign w:val="center"/>
          </w:tcPr>
          <w:p>
            <w:pPr>
              <w:widowControl/>
              <w:adjustRightInd w:val="0"/>
              <w:snapToGrid w:val="0"/>
              <w:ind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层       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 xml:space="preserve">   </w:t>
            </w:r>
          </w:p>
        </w:tc>
        <w:tc>
          <w:tcPr>
            <w:tcW w:w="1252" w:type="dxa"/>
            <w:gridSpan w:val="3"/>
            <w:vMerge w:val="continue"/>
            <w:vAlign w:val="center"/>
          </w:tcPr>
          <w:p>
            <w:pPr>
              <w:widowControl/>
              <w:adjustRightInd w:val="0"/>
              <w:snapToGrid w:val="0"/>
              <w:rPr>
                <w:rFonts w:hint="eastAsia" w:ascii="仿宋_GB2312" w:hAnsi="仿宋_GB2312" w:eastAsia="仿宋_GB2312" w:cs="仿宋_GB2312"/>
                <w:kern w:val="0"/>
                <w:szCs w:val="21"/>
              </w:rPr>
            </w:pPr>
          </w:p>
        </w:tc>
        <w:tc>
          <w:tcPr>
            <w:tcW w:w="3257" w:type="dxa"/>
            <w:gridSpan w:val="9"/>
            <w:vMerge w:val="continue"/>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94" w:hRule="atLeast"/>
        </w:trPr>
        <w:tc>
          <w:tcPr>
            <w:tcW w:w="1737"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消防设施设置</w:t>
            </w:r>
          </w:p>
        </w:tc>
        <w:tc>
          <w:tcPr>
            <w:tcW w:w="8235" w:type="dxa"/>
            <w:gridSpan w:val="20"/>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火灾自动报警系统□  自动灭火系统□  室内消火栓系统□  防排烟系统□  消防应急照明和疏散指示标志□  独立式点型感烟探测器□  简易喷水系统□  消防软管卷盘或轻便消防水龙□</w:t>
            </w:r>
          </w:p>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其他□ </w:t>
            </w:r>
            <w:r>
              <w:rPr>
                <w:rFonts w:hint="eastAsia" w:ascii="仿宋_GB2312" w:hAnsi="仿宋_GB2312" w:eastAsia="仿宋_GB2312" w:cs="仿宋_GB2312"/>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737" w:type="dxa"/>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消防控制室设置</w:t>
            </w:r>
          </w:p>
        </w:tc>
        <w:tc>
          <w:tcPr>
            <w:tcW w:w="1385" w:type="dxa"/>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是否设有消防控制室</w:t>
            </w:r>
          </w:p>
        </w:tc>
        <w:tc>
          <w:tcPr>
            <w:tcW w:w="1467" w:type="dxa"/>
            <w:gridSpan w:val="5"/>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否□</w:t>
            </w:r>
          </w:p>
        </w:tc>
        <w:tc>
          <w:tcPr>
            <w:tcW w:w="1830" w:type="dxa"/>
            <w:gridSpan w:val="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是否为消防控制室主管单位</w:t>
            </w:r>
          </w:p>
        </w:tc>
        <w:tc>
          <w:tcPr>
            <w:tcW w:w="718" w:type="dxa"/>
            <w:gridSpan w:val="2"/>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否□</w:t>
            </w:r>
          </w:p>
        </w:tc>
        <w:tc>
          <w:tcPr>
            <w:tcW w:w="1787" w:type="dxa"/>
            <w:gridSpan w:val="5"/>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独立□</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合用□</w:t>
            </w:r>
          </w:p>
        </w:tc>
        <w:tc>
          <w:tcPr>
            <w:tcW w:w="1055" w:type="dxa"/>
            <w:gridSpan w:val="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消控室持证上岗人数</w:t>
            </w:r>
          </w:p>
        </w:tc>
        <w:tc>
          <w:tcPr>
            <w:tcW w:w="237" w:type="dxa"/>
            <w:vAlign w:val="center"/>
          </w:tcPr>
          <w:p>
            <w:pPr>
              <w:widowControl/>
              <w:adjustRightInd w:val="0"/>
              <w:snapToGrid w:val="0"/>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94" w:hRule="atLeast"/>
        </w:trPr>
        <w:tc>
          <w:tcPr>
            <w:tcW w:w="1737" w:type="dxa"/>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微型消防站</w:t>
            </w:r>
          </w:p>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组建情况</w:t>
            </w:r>
          </w:p>
        </w:tc>
        <w:tc>
          <w:tcPr>
            <w:tcW w:w="1385" w:type="dxa"/>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是否组建微型消防站</w:t>
            </w:r>
          </w:p>
        </w:tc>
        <w:tc>
          <w:tcPr>
            <w:tcW w:w="1467" w:type="dxa"/>
            <w:gridSpan w:val="5"/>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是□</w:t>
            </w:r>
          </w:p>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否□</w:t>
            </w:r>
          </w:p>
        </w:tc>
        <w:tc>
          <w:tcPr>
            <w:tcW w:w="1830" w:type="dxa"/>
            <w:gridSpan w:val="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微型消防站人数</w:t>
            </w:r>
          </w:p>
        </w:tc>
        <w:tc>
          <w:tcPr>
            <w:tcW w:w="3553" w:type="dxa"/>
            <w:gridSpan w:val="10"/>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27" w:hRule="atLeast"/>
        </w:trPr>
        <w:tc>
          <w:tcPr>
            <w:tcW w:w="1737" w:type="dxa"/>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突出问题项目</w:t>
            </w:r>
          </w:p>
        </w:tc>
        <w:tc>
          <w:tcPr>
            <w:tcW w:w="6066" w:type="dxa"/>
            <w:gridSpan w:val="14"/>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突出问题细项表现</w:t>
            </w:r>
          </w:p>
        </w:tc>
        <w:tc>
          <w:tcPr>
            <w:tcW w:w="2169" w:type="dxa"/>
            <w:gridSpan w:val="6"/>
            <w:vAlign w:val="center"/>
          </w:tcPr>
          <w:p>
            <w:pPr>
              <w:widowControl/>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存在问题及整改措施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90" w:hRule="atLeast"/>
        </w:trPr>
        <w:tc>
          <w:tcPr>
            <w:tcW w:w="1737" w:type="dxa"/>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违规使用易燃可燃材料装修装饰</w:t>
            </w: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1.人员密集场所使用聚氨酯泡沫、聚苯乙烯等易燃可燃材料装修或者作隔热保温层。</w:t>
            </w:r>
          </w:p>
        </w:tc>
        <w:tc>
          <w:tcPr>
            <w:tcW w:w="2169" w:type="dxa"/>
            <w:gridSpan w:val="6"/>
            <w:vAlign w:val="center"/>
          </w:tcPr>
          <w:p>
            <w:pPr>
              <w:widowControl/>
              <w:adjustRightInd w:val="0"/>
              <w:snapToGrid w:val="0"/>
              <w:jc w:val="center"/>
              <w:rPr>
                <w:rFonts w:hint="eastAsia" w:ascii="仿宋_GB2312" w:hAnsi="仿宋_GB2312" w:eastAsia="仿宋_GB2312" w:cs="仿宋_GB2312"/>
                <w:kern w:val="0"/>
                <w:szCs w:val="21"/>
              </w:rPr>
            </w:pPr>
          </w:p>
          <w:p>
            <w:pPr>
              <w:widowControl/>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66"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2.员工宿舍采用易燃可燃材料为芯材的彩钢板搭建。</w:t>
            </w:r>
          </w:p>
        </w:tc>
        <w:tc>
          <w:tcPr>
            <w:tcW w:w="2169" w:type="dxa"/>
            <w:gridSpan w:val="6"/>
            <w:vAlign w:val="center"/>
          </w:tcPr>
          <w:p>
            <w:pPr>
              <w:widowControl/>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88"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3.公共娱乐场所、商场市场等使用大量易燃可燃材料装饰。</w:t>
            </w:r>
          </w:p>
        </w:tc>
        <w:tc>
          <w:tcPr>
            <w:tcW w:w="2169" w:type="dxa"/>
            <w:gridSpan w:val="6"/>
            <w:vAlign w:val="center"/>
          </w:tcPr>
          <w:p>
            <w:pPr>
              <w:widowControl/>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621" w:hRule="atLeast"/>
        </w:trPr>
        <w:tc>
          <w:tcPr>
            <w:tcW w:w="1737" w:type="dxa"/>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防火分隔不到位</w:t>
            </w: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4.建筑地下与地上部分、住宅与非住宅部分未按规范进行防火分隔。</w:t>
            </w:r>
          </w:p>
        </w:tc>
        <w:tc>
          <w:tcPr>
            <w:tcW w:w="2169" w:type="dxa"/>
            <w:gridSpan w:val="6"/>
            <w:vAlign w:val="center"/>
          </w:tcPr>
          <w:p>
            <w:pPr>
              <w:widowControl/>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526"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5.防火隔墙、防火卷帘、防火门等防火分隔设施缺失或者损坏。</w:t>
            </w:r>
          </w:p>
        </w:tc>
        <w:tc>
          <w:tcPr>
            <w:tcW w:w="2169" w:type="dxa"/>
            <w:gridSpan w:val="6"/>
            <w:vAlign w:val="center"/>
          </w:tcPr>
          <w:p>
            <w:pPr>
              <w:widowControl/>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71"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6.门窗孔洞、竖向管道井每层楼板处封堵不严密。</w:t>
            </w:r>
          </w:p>
        </w:tc>
        <w:tc>
          <w:tcPr>
            <w:tcW w:w="2169" w:type="dxa"/>
            <w:gridSpan w:val="6"/>
            <w:vAlign w:val="center"/>
          </w:tcPr>
          <w:p>
            <w:pPr>
              <w:widowControl/>
              <w:adjustRightInd w:val="0"/>
              <w:snapToGrid w:val="0"/>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45"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7.楼梯间、前室常闭式防火门常开。</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94" w:hRule="atLeast"/>
        </w:trPr>
        <w:tc>
          <w:tcPr>
            <w:tcW w:w="1737" w:type="dxa"/>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疏散通道不畅通</w:t>
            </w: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8.疏散通道、安全出口数量不足或者被封闭、堵塞、占用。</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555"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9.人员密集场所在门窗上设置广告牌等影响逃生和灭火救援的障碍物。</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57" w:hRule="atLeast"/>
        </w:trPr>
        <w:tc>
          <w:tcPr>
            <w:tcW w:w="1737" w:type="dxa"/>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违规存放易燃易爆危险品</w:t>
            </w: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10.人员密集场所违规使用、储存易燃易爆危险品。</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19"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11.群租房、商场市场、施工工地等场所违规堆放易燃可燃物品。</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562"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12.劳动密集型企业生产车间等场所超量存放易燃易爆原材料或者半成品。</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45" w:hRule="atLeast"/>
        </w:trPr>
        <w:tc>
          <w:tcPr>
            <w:tcW w:w="1737" w:type="dxa"/>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消防设施损坏停用</w:t>
            </w: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13.火灾自动报警系统停用或者不能正常运行。</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66"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14.消防水泵控制柜处于手动控制状态。</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536"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15.自动喷水灭火系统、防火卷帘、机械防排烟等消防设施不能正常联动。</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11"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16.消火栓、自动喷水灭火系统不能正常供水。</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616" w:hRule="atLeast"/>
        </w:trPr>
        <w:tc>
          <w:tcPr>
            <w:tcW w:w="1737" w:type="dxa"/>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电动自行车违规停放充电</w:t>
            </w: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17.停放在建筑门厅、楼梯间、共用走道以及地下室半地下室等室内公共区域。</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89"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18.停放位置与周围可燃物未落实防火措施。</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68"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19.采取“飞线”、入户等方式违规充电。</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82" w:hRule="atLeast"/>
        </w:trPr>
        <w:tc>
          <w:tcPr>
            <w:tcW w:w="1737" w:type="dxa"/>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重点岗位人员责任不落实</w:t>
            </w: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20.单位未依法明确消防安全责任人、管理人及其职责。</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13"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21.消防控制室值班人员不会熟练操作设施设备。</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43" w:hRule="atLeast"/>
        </w:trPr>
        <w:tc>
          <w:tcPr>
            <w:tcW w:w="1737" w:type="dxa"/>
            <w:vMerge w:val="continue"/>
            <w:vAlign w:val="center"/>
          </w:tcPr>
          <w:p>
            <w:pPr>
              <w:widowControl/>
              <w:adjustRightInd w:val="0"/>
              <w:snapToGrid w:val="0"/>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22.微型消防站队员不能及时有效处置初起火灾。</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586" w:hRule="atLeast"/>
        </w:trPr>
        <w:tc>
          <w:tcPr>
            <w:tcW w:w="1737" w:type="dxa"/>
            <w:vMerge w:val="restart"/>
            <w:vAlign w:val="center"/>
          </w:tcPr>
          <w:p>
            <w:pPr>
              <w:widowControl/>
              <w:adjustRightInd w:val="0"/>
              <w:snapToGrid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日常管理机制不健全</w:t>
            </w: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23.单位未定期开展建筑消防设施检测和维护保养，并完整准确记录。</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442" w:hRule="atLeast"/>
        </w:trPr>
        <w:tc>
          <w:tcPr>
            <w:tcW w:w="1737" w:type="dxa"/>
            <w:vMerge w:val="continue"/>
            <w:vAlign w:val="center"/>
          </w:tcPr>
          <w:p>
            <w:pPr>
              <w:spacing w:line="400" w:lineRule="exact"/>
              <w:jc w:val="left"/>
              <w:rPr>
                <w:rFonts w:hint="eastAsia" w:ascii="仿宋_GB2312" w:hAnsi="仿宋_GB2312" w:eastAsia="仿宋_GB2312" w:cs="仿宋_GB2312"/>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24.未定期开展防火检查巡查，并如实登记报告。</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365" w:hRule="atLeast"/>
        </w:trPr>
        <w:tc>
          <w:tcPr>
            <w:tcW w:w="1737" w:type="dxa"/>
            <w:vMerge w:val="continue"/>
            <w:vAlign w:val="center"/>
          </w:tcPr>
          <w:p>
            <w:pPr>
              <w:spacing w:line="400" w:lineRule="exact"/>
              <w:jc w:val="left"/>
              <w:rPr>
                <w:rFonts w:hint="eastAsia" w:ascii="仿宋_GB2312" w:hAnsi="仿宋_GB2312" w:eastAsia="仿宋_GB2312" w:cs="仿宋_GB2312"/>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25.未及时整改消除隐患问题，并落实安全防范措施。</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754" w:hRule="exact"/>
        </w:trPr>
        <w:tc>
          <w:tcPr>
            <w:tcW w:w="1737" w:type="dxa"/>
            <w:vMerge w:val="restart"/>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宣传教育培训不深入</w:t>
            </w: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26.单位检查整改隐患、扑救初起火灾、组织人员疏散、开展宣传培训能力不足。</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526" w:hRule="atLeast"/>
        </w:trPr>
        <w:tc>
          <w:tcPr>
            <w:tcW w:w="1737" w:type="dxa"/>
            <w:vMerge w:val="continue"/>
            <w:vAlign w:val="center"/>
          </w:tcPr>
          <w:p>
            <w:pPr>
              <w:widowControl/>
              <w:adjustRightInd w:val="0"/>
              <w:snapToGrid w:val="0"/>
              <w:jc w:val="left"/>
              <w:rPr>
                <w:rFonts w:hint="eastAsia" w:ascii="仿宋_GB2312" w:hAnsi="仿宋_GB2312" w:eastAsia="仿宋_GB2312" w:cs="仿宋_GB2312"/>
                <w:kern w:val="0"/>
                <w:szCs w:val="21"/>
              </w:rPr>
            </w:pPr>
          </w:p>
        </w:tc>
        <w:tc>
          <w:tcPr>
            <w:tcW w:w="6066" w:type="dxa"/>
            <w:gridSpan w:val="14"/>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27.员工不了解本场所火灾危险性，不会报警、不会灭火、不会逃生。</w:t>
            </w:r>
          </w:p>
        </w:tc>
        <w:tc>
          <w:tcPr>
            <w:tcW w:w="2169" w:type="dxa"/>
            <w:gridSpan w:val="6"/>
            <w:vAlign w:val="center"/>
          </w:tcPr>
          <w:p>
            <w:pPr>
              <w:spacing w:line="28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690" w:hRule="atLeast"/>
        </w:trPr>
        <w:tc>
          <w:tcPr>
            <w:tcW w:w="1737" w:type="dxa"/>
            <w:vAlign w:val="center"/>
          </w:tcPr>
          <w:p>
            <w:pPr>
              <w:widowControl/>
              <w:adjustRightInd w:val="0"/>
              <w:snapToGrid w:val="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其他问题，及采取的措施</w:t>
            </w:r>
          </w:p>
        </w:tc>
        <w:tc>
          <w:tcPr>
            <w:tcW w:w="8235" w:type="dxa"/>
            <w:gridSpan w:val="20"/>
            <w:vAlign w:val="center"/>
          </w:tcPr>
          <w:p>
            <w:pPr>
              <w:spacing w:line="280" w:lineRule="exact"/>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4" w:type="dxa"/>
          <w:trHeight w:val="701" w:hRule="atLeast"/>
        </w:trPr>
        <w:tc>
          <w:tcPr>
            <w:tcW w:w="1737" w:type="dxa"/>
            <w:vAlign w:val="center"/>
          </w:tcPr>
          <w:p>
            <w:pPr>
              <w:spacing w:line="28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消防安全</w:t>
            </w:r>
          </w:p>
          <w:p>
            <w:pPr>
              <w:spacing w:line="280" w:lineRule="exact"/>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承诺情况</w:t>
            </w:r>
          </w:p>
        </w:tc>
        <w:tc>
          <w:tcPr>
            <w:tcW w:w="8235" w:type="dxa"/>
            <w:gridSpan w:val="20"/>
            <w:vAlign w:val="center"/>
          </w:tcPr>
          <w:p>
            <w:pPr>
              <w:spacing w:line="280" w:lineRule="exact"/>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本场所不存在突出风险 □       本场所已落实防范措施 □</w:t>
            </w:r>
          </w:p>
        </w:tc>
      </w:tr>
    </w:tbl>
    <w:p>
      <w:pPr>
        <w:spacing w:line="300" w:lineRule="exact"/>
        <w:ind w:left="695" w:leftChars="-126" w:hanging="960" w:hangingChars="40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备注：1.“单位类型”栏按下列类别填写：商场市场、劳动密集型企业、公共娱乐场所、群租房、宾馆饭店、高层建筑、养老院、施工工地或其他；</w:t>
      </w:r>
    </w:p>
    <w:p>
      <w:pPr>
        <w:spacing w:line="30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sz w:val="24"/>
          <w:szCs w:val="32"/>
        </w:rPr>
        <w:t>2.本表一式叁份，一份单位存档，一份报属地乡镇街道或行业主管部门备案，一份报当地消防救援机构备案。</w:t>
      </w:r>
    </w:p>
    <w:p>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NjgyZDdhNTUxNjQ3OWJhYTk0N2YyMzFmYzEzNjQifQ=="/>
  </w:docVars>
  <w:rsids>
    <w:rsidRoot w:val="1F013974"/>
    <w:rsid w:val="1F01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2023-08-31T09:33:00Z</dcterms:created>
  <dc:creator>999</dc:creator>
  <cp:lastModifiedBy>999</cp:lastModifiedBy>
  <dcterms:modified xsi:type="dcterms:W3CDTF">2023-08-31T09:33:56Z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502A83F9501C4BBB99DEB39A45CDA957_11</vt:lpwstr>
  </property>
</Properties>
</file>